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numbering.xml" ContentType="application/vnd.openxmlformats-officedocument.wordprocessingml.numbering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body>
    <w:tbl>
      <w:tblPr>
        <w:tblStyle w:val="afffb"/>
        <w:tblW w:w="10723" w:type="dxa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 w:firstRow="1" w:lastRow="0" w:firstColumn="1" w:lastColumn="0" w:noHBand="0" w:noVBand="1"/>
      </w:tblPr>
      <w:tblGrid>
        <w:gridCol w:w="1686"/>
        <w:gridCol w:w="9037"/>
      </w:tblGrid>
      <w:tr>
        <w:trPr>
          <w:trHeight w:val="517" w:hRule="atLeast"/>
        </w:trPr>
        <w:tc>
          <w:tcPr>
            <w:tcW w:w="1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Үйлдвэр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·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Бусад салбар</w:t>
            </w:r>
          </w:p>
        </w:tc>
        <w:tc>
          <w:tcPr>
            <w:tcW w:w="9037" w:type="dxa"/>
            <w:tcBorders>
              <w:left w:val="single" w:sz="4" w:space="0" w:color="auto"/>
            </w:tcBorders>
          </w:tcPr>
          <w:p>
            <w:pPr>
              <w:wordWrap/>
              <w:jc w:val="right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</w:rPr>
              <w:drawing>
                <wp:inline distT="0" distB="0" distL="0" distR="0">
                  <wp:extent cx="315112" cy="285386"/>
                  <wp:effectExtent l="0" t="0" r="0" b="0"/>
                  <wp:docPr id="1025" name="shape102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15112" cy="285386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лм</w:t>
            </w:r>
            <w:r>
              <w:rPr>
                <w:rFonts w:ascii="Times New Roman" w:eastAsia="Calibri" w:hAnsi="Times New Roman" w:cs="Times New Roman"/>
                <w:b/>
                <w:bCs/>
                <w:sz w:val="16"/>
                <w:szCs w:val="16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нийгмийн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хамгааллын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яам</w:t>
            </w:r>
          </w:p>
          <w:p>
            <w:pPr>
              <w:wordWrap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Гуанж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сийн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лм</w:t>
            </w:r>
            <w: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нийгмийн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хамгааллын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газар</w:t>
            </w:r>
          </w:p>
        </w:tc>
      </w:tr>
    </w:tbl>
    <w:p>
      <w:pPr>
        <w:wordWrap/>
        <w:jc w:val="center"/>
        <w:spacing w:after="0"/>
        <w:rPr>
          <w:rFonts w:ascii="Times New Roman" w:hAnsi="Times New Roman" w:cs="Times New Roman"/>
          <w:b/>
          <w:bCs/>
          <w:color w:val="EE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4472C4"/>
          <w:sz w:val="40"/>
          <w:szCs w:val="40"/>
        </w:rPr>
        <w:t>Аюулг</w:t>
      </w:r>
      <w:r>
        <w:rPr>
          <w:rFonts w:ascii="Times New Roman" w:eastAsia="Calibri" w:hAnsi="Times New Roman" w:cs="Times New Roman"/>
          <w:b/>
          <w:bCs/>
          <w:color w:val="4472C4"/>
          <w:sz w:val="40"/>
          <w:szCs w:val="40"/>
        </w:rPr>
        <w:t>ү</w:t>
      </w:r>
      <w:r>
        <w:rPr>
          <w:rFonts w:ascii="Times New Roman" w:hAnsi="Times New Roman" w:cs="Times New Roman"/>
          <w:b/>
          <w:bCs/>
          <w:color w:val="4472C4"/>
          <w:sz w:val="40"/>
          <w:szCs w:val="40"/>
        </w:rPr>
        <w:t>й</w:t>
      </w:r>
      <w:r>
        <w:rPr>
          <w:rFonts w:ascii="Times New Roman" w:hAnsi="Times New Roman" w:cs="Times New Roman"/>
          <w:b/>
          <w:bCs/>
          <w:color w:val="4472C4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4472C4"/>
          <w:sz w:val="40"/>
          <w:szCs w:val="40"/>
        </w:rPr>
        <w:t>ажиллагааны</w:t>
      </w:r>
      <w:r>
        <w:rPr>
          <w:rFonts w:ascii="Times New Roman" w:hAnsi="Times New Roman" w:cs="Times New Roman"/>
          <w:b/>
          <w:bCs/>
          <w:color w:val="4472C4"/>
          <w:sz w:val="40"/>
          <w:szCs w:val="40"/>
        </w:rPr>
        <w:t xml:space="preserve"> </w:t>
      </w:r>
      <w:r>
        <w:rPr>
          <w:lang w:val="mn-MN"/>
          <w:rFonts w:ascii="Times New Roman" w:hAnsi="Times New Roman" w:cs="Times New Roman"/>
          <w:b/>
          <w:bCs/>
          <w:color w:val="4472C4"/>
          <w:sz w:val="40"/>
          <w:szCs w:val="40"/>
          <w:rtl w:val="off"/>
        </w:rPr>
        <w:t>дараах дүрмийг заавал мөрд</w:t>
      </w:r>
      <w:r>
        <w:rPr>
          <w:lang w:val="mn-MN" w:eastAsia="ko-KR"/>
          <w:rFonts w:ascii="Times New Roman" w:hAnsi="Times New Roman" w:cs="Times New Roman"/>
          <w:b/>
          <w:bCs/>
          <w:color w:val="4472C4"/>
          <w:sz w:val="40"/>
          <w:szCs w:val="40"/>
          <w:rtl w:val="off"/>
        </w:rPr>
        <w:t xml:space="preserve">! </w:t>
      </w:r>
      <w:r>
        <w:rPr>
          <w:rFonts w:ascii="Times New Roman" w:hAnsi="Times New Roman" w:cs="Times New Roman"/>
          <w:b/>
          <w:bCs/>
          <w:color w:val="EE0000"/>
          <w:sz w:val="40"/>
          <w:szCs w:val="40"/>
        </w:rPr>
        <w:t>Ажилчдын</w:t>
      </w:r>
      <w:r>
        <w:rPr>
          <w:rFonts w:ascii="Times New Roman" w:hAnsi="Times New Roman" w:cs="Times New Roman"/>
          <w:b/>
          <w:bCs/>
          <w:color w:val="EE0000"/>
          <w:sz w:val="40"/>
          <w:szCs w:val="40"/>
        </w:rPr>
        <w:t xml:space="preserve"> </w:t>
      </w:r>
      <w:r>
        <w:rPr>
          <w:lang w:val="mn-MN"/>
          <w:rFonts w:ascii="Times New Roman" w:hAnsi="Times New Roman" w:cs="Times New Roman"/>
          <w:b/>
          <w:bCs/>
          <w:color w:val="EE0000"/>
          <w:sz w:val="40"/>
          <w:szCs w:val="40"/>
          <w:rtl w:val="off"/>
        </w:rPr>
        <w:t>заавал мөрдөх аюулгүй ажиллагааны заавар</w:t>
      </w:r>
    </w:p>
    <w:tbl>
      <w:tblPr>
        <w:tblStyle w:val="afffb"/>
        <w:tblW w:w="10964" w:type="dxa"/>
        <w:tblLook w:val="04A0" w:firstRow="1" w:lastRow="0" w:firstColumn="1" w:lastColumn="0" w:noHBand="0" w:noVBand="1"/>
        <w:tblLayout w:type="fixed"/>
      </w:tblPr>
      <w:tblGrid>
        <w:gridCol w:w="1609"/>
        <w:gridCol w:w="6702"/>
        <w:gridCol w:w="2653"/>
      </w:tblGrid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pStyle w:val="af1"/>
              <w:wordWrap/>
              <w:jc w:val="cent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Сэрээт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рг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гч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Мэргэжлийн болон жолоодох эрхийн үнэмлэхтэй хүн жолоод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оно.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Жолоодоогүй үед түлхүүрийг сугалж авах журмыг мөрд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өнө.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Дохиоч ажиллуула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, дохио зааврыг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дагана.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Суудлын аюулгүй бүс зүүх, хурдны хязгаарыг баримтла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на.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40746" cy="1047704"/>
                  <wp:effectExtent l="0" t="0" r="0" b="0"/>
                  <wp:docPr id="1026" name="shape1026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0746" cy="1047704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pStyle w:val="af1"/>
              <w:wordWrap/>
              <w:jc w:val="center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ндрийн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рг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гч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шат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Хамгаалалтын малгай, хамгаалалтын бүс зүүх, бүсний гогцоог түгжи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нэ.</w:t>
            </w:r>
          </w:p>
          <w:p>
            <w:pPr>
              <w:wordWrap/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Зорчих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газрын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хотгор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,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гүдгэрийг шалгасны дараа хөд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өлнө. </w:t>
            </w:r>
          </w:p>
          <w:p>
            <w:pPr>
              <w:wordWrap/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Өндрийн өргөгч шаттай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ажиллахад татах, түлхэх үйлдэл хийхийг хориглоно.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2985"/>
                  <wp:effectExtent l="0" t="0" r="0" b="0"/>
                  <wp:docPr id="1027" name="shape102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29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③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Пресс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машин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Гэрэл электрон хамгаалалтын төхөөрөмжийн ажилаж буй эсэхийг шалга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Хоёр гараар удирддаг аюулгүйн төхөөрөмжийг идэвхгүй болгохыг хориглоно.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Прессийн хэв суурилуу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лах зэрэ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г ажил гүйцэтгэх үед аюулгүйн блок ашигла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на.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35685"/>
                  <wp:effectExtent l="0" t="0" r="0" b="0"/>
                  <wp:docPr id="1028" name="shape1028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3568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④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Тарилгын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хэв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шахагч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машин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Хаалганы хамгаалалт харилцан уялдаатай ажиллаж буй эсэхийг шалга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Аюулын тормосны байрлал болон хэвийн ажиллаж буй эсэхийг шалг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ана.</w:t>
            </w:r>
          </w:p>
          <w:p>
            <w:pPr>
              <w:wordWrap/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Хэв солих болон засварлах</w:t>
            </w:r>
            <w:r>
              <w:rPr>
                <w:lang w:val="mn-MN"/>
                <w:rFonts w:ascii="Times New Roman" w:eastAsia="맑은 고딕" w:hAnsi="Times New Roman" w:cs="Times New Roman"/>
                <w:b/>
                <w:bCs/>
                <w:sz w:val="24"/>
              </w:rPr>
              <w:t>·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цэвэрлэх үед тэжээлийг салга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ж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“Ажиллуулахыг хориглоно”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анхааруулах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тэмдэг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тавина.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06475"/>
                  <wp:effectExtent l="0" t="0" r="0" b="0"/>
                  <wp:docPr id="1029" name="shape1029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0647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⑤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</w:t>
            </w: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нд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ачаа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з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в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рл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ажил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Ажил гүйцэтгэх ажилтнаас бусад хүн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нэвтрэхийг х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ори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глоно.</w:t>
            </w:r>
          </w:p>
          <w:p>
            <w:pPr>
              <w:wordWrap/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Ажилчид хооронд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ын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аюулгүйн зай бар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ина.</w:t>
            </w:r>
          </w:p>
          <w:p>
            <w:pPr>
              <w:wordWrap/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Өргөх тросны үзлэг хийх мөн сол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ино.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21715"/>
                  <wp:effectExtent l="0" t="0" r="0" b="0"/>
                  <wp:docPr id="1030" name="shape1030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2171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⑥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lang w:val="mn-MN"/>
                <w:rFonts w:ascii="Times New Roman" w:hAnsi="Times New Roman" w:cs="Times New Roman"/>
                <w:b/>
                <w:bCs/>
                <w:color w:val="EE0000"/>
                <w:sz w:val="24"/>
              </w:rPr>
              <w:t>Үйлдвэрлэлийн зориулалттай робот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Робот ажиллаж буй бүсэд нэвтрэх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ийг хориглоно.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Хамгаалалтын төхөөрөмжийн ажиллагааг шалга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Үзлэг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>·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засварын үед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төхөөрөмжийг заавал бүрэн зогсоо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но.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</w:rPr>
              <w:drawing>
                <wp:inline distT="0" distB="0" distL="0" distR="0">
                  <wp:extent cx="1638300" cy="1040765"/>
                  <wp:effectExtent l="0" t="0" r="0" b="0"/>
                  <wp:docPr id="1031" name="shape1031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300" cy="10407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p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</w:p>
    <w:p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p>
      <w:pPr>
        <w:autoSpaceDE/>
        <w:autoSpaceDN/>
        <w:widowControl/>
        <w:wordWrap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p>
      <w:pPr>
        <w:wordWrap/>
        <w:jc w:val="center"/>
        <w:spacing w:after="0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Аюулг</w:t>
      </w:r>
      <w:r>
        <w:rPr>
          <w:rFonts w:ascii="Times New Roman" w:eastAsia="Calibri" w:hAnsi="Times New Roman" w:cs="Times New Roman"/>
          <w:b/>
          <w:bCs/>
          <w:color w:val="000000"/>
          <w:sz w:val="40"/>
          <w:szCs w:val="40"/>
        </w:rPr>
        <w:t>ү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й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>ажиллагааны</w:t>
      </w:r>
      <w:r>
        <w:rPr>
          <w:rFonts w:ascii="Times New Roman" w:hAnsi="Times New Roman" w:cs="Times New Roman"/>
          <w:b/>
          <w:bCs/>
          <w:color w:val="000000"/>
          <w:sz w:val="40"/>
          <w:szCs w:val="40"/>
        </w:rPr>
        <w:t xml:space="preserve"> </w:t>
      </w:r>
      <w:r>
        <w:rPr>
          <w:lang w:val="mn-MN"/>
          <w:rFonts w:ascii="Times New Roman" w:hAnsi="Times New Roman" w:cs="Times New Roman"/>
          <w:b/>
          <w:bCs/>
          <w:color w:val="000000"/>
          <w:sz w:val="40"/>
          <w:szCs w:val="40"/>
          <w:rtl w:val="off"/>
        </w:rPr>
        <w:t>дараах дүрмийг заавал мөрд</w:t>
      </w:r>
      <w:r>
        <w:rPr>
          <w:lang w:val="mn-MN" w:eastAsia="ko-KR"/>
          <w:rFonts w:ascii="Times New Roman" w:hAnsi="Times New Roman" w:cs="Times New Roman"/>
          <w:b/>
          <w:bCs/>
          <w:color w:val="000000"/>
          <w:sz w:val="40"/>
          <w:szCs w:val="40"/>
          <w:rtl w:val="off"/>
        </w:rPr>
        <w:t>!</w:t>
      </w:r>
    </w:p>
    <w:p>
      <w:pPr>
        <w:wordWrap/>
        <w:jc w:val="center"/>
        <w:spacing w:after="0"/>
        <w:rPr>
          <w:rFonts w:ascii="Times New Roman" w:hAnsi="Times New Roman" w:cs="Times New Roman"/>
          <w:b/>
          <w:bCs/>
          <w:color w:val="FFC000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>Ажилчдын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 xml:space="preserve"> </w:t>
      </w:r>
      <w:r>
        <w:rPr>
          <w:lang w:val="mn-MN"/>
          <w:rFonts w:ascii="Times New Roman" w:hAnsi="Times New Roman" w:cs="Times New Roman"/>
          <w:b/>
          <w:bCs/>
          <w:color w:val="FFC000"/>
          <w:sz w:val="40"/>
          <w:szCs w:val="40"/>
          <w:rtl w:val="off"/>
        </w:rPr>
        <w:t>заавал мөрдөх аю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>улг</w:t>
      </w:r>
      <w:r>
        <w:rPr>
          <w:rFonts w:ascii="Times New Roman" w:eastAsia="Calibri" w:hAnsi="Times New Roman" w:cs="Times New Roman"/>
          <w:b/>
          <w:bCs/>
          <w:color w:val="FFC000"/>
          <w:sz w:val="40"/>
          <w:szCs w:val="40"/>
        </w:rPr>
        <w:t>ү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>й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>ажиллагааны</w:t>
      </w:r>
      <w:r>
        <w:rPr>
          <w:rFonts w:ascii="Times New Roman" w:hAnsi="Times New Roman" w:cs="Times New Roman"/>
          <w:b/>
          <w:bCs/>
          <w:color w:val="FFC000"/>
          <w:sz w:val="40"/>
          <w:szCs w:val="40"/>
        </w:rPr>
        <w:t xml:space="preserve"> </w:t>
      </w:r>
      <w:r>
        <w:rPr>
          <w:lang w:val="mn-MN"/>
          <w:rFonts w:ascii="Times New Roman" w:eastAsia="Calibri" w:hAnsi="Times New Roman" w:cs="Times New Roman"/>
          <w:b/>
          <w:bCs/>
          <w:color w:val="FFC000"/>
          <w:sz w:val="40"/>
          <w:szCs w:val="40"/>
          <w:rtl w:val="off"/>
        </w:rPr>
        <w:t>заавар</w:t>
      </w:r>
    </w:p>
    <w:p>
      <w:pPr>
        <w:wordWrap/>
        <w:spacing w:after="0"/>
        <w:rPr>
          <w:rFonts w:ascii="Times New Roman" w:hAnsi="Times New Roman" w:cs="Times New Roman"/>
          <w:b/>
          <w:bCs/>
          <w:sz w:val="20"/>
          <w:szCs w:val="20"/>
        </w:rPr>
      </w:pPr>
    </w:p>
    <w:tbl>
      <w:tblPr>
        <w:tblStyle w:val="afffb"/>
        <w:tblW w:w="10964" w:type="dxa"/>
        <w:tblLook w:val="04A0" w:firstRow="1" w:lastRow="0" w:firstColumn="1" w:lastColumn="0" w:noHBand="0" w:noVBand="1"/>
        <w:tblLayout w:type="fixed"/>
      </w:tblPr>
      <w:tblGrid>
        <w:gridCol w:w="1609"/>
        <w:gridCol w:w="6702"/>
        <w:gridCol w:w="2653"/>
      </w:tblGrid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⑦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Гагнуурын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ажил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Нүүр хамгаалах маск зүү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нэ.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Хий холбох үед хийн холболтыг дахин шалга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Ойр орчимд шатамхай материал байгаа эсэхийг шалга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на.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М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өн оч үсрэлтийн хамгаалалтын даавуу байруулах, галын хорны байршлыг урьдчилж мэдэх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77265"/>
                  <wp:effectExtent l="0" t="0" r="0" b="0"/>
                  <wp:docPr id="1032" name="shape1032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7265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⑧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Цахилгааны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ажил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Тусгаарлагч хамгаалах хэрэгсэл зүү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нэ.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Газардуулагчийн холболтыг шалга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на.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Алдагдлын гүйдлээс хамгаалах таслуур суурилуулах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·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ажиллагааг шалга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на.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48690"/>
                  <wp:effectExtent l="0" t="0" r="0" b="0"/>
                  <wp:docPr id="1033" name="shape1033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4869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⑨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Хяналтын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жагсаалтны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хор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н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лтэй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бодистой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ажиллах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Бодисын аюулгүй ажиллагааны мэдээлэл</w:t>
            </w: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(MSDS)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тэй танилцаж, бүрэн ойлго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х шаардлагатай.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Тохирох хамгаалалтын хэрэгсэл зүү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нэ.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Бодис үсрэх эрсдэлтэй үед хамгаалалтын нүдний шил зүү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нэ.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76630"/>
                  <wp:effectExtent l="0" t="0" r="0" b="0"/>
                  <wp:docPr id="1034" name="shape1034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7663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⑩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Бит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ү</w:t>
            </w: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орчин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Амьсгал хамгаалах төхөөрөмж, агаараар хангах маск зэрэг хамгаалалтын хэрэгсэл зү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үнэ.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Хүчилтөрөгч болон хорт хийн агууламжийг хэмжиж, агааржуулалт хийсний дараа нэвт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эрнэ.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Ганцаар ажиллах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ыг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хори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глох ба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хянагчтай холбоо тогтоох боломжийг бүрдүүл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нэ.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933450"/>
                  <wp:effectExtent l="0" t="0" r="0" b="0"/>
                  <wp:docPr id="1035" name="shape1035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93345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⑪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Мод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тайрах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ажил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Унаж давхарлан тогтсон модны дор ажиллах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ыг хориглоно.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Модны хэлбэр, мод унагах чиглэлийг тодорхойлж ажил гүйцэтгэх үед зүсэлтийн өнцөг ба гүний стандарт баримт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ална.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>√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Ойр орчимд байгаа саад болох зүйлийг зайлуулж, мод унах үед зайлах зам болох зайлах газрыг урьдчилан тогтоо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но.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1007110"/>
                  <wp:effectExtent l="0" t="0" r="0" b="0"/>
                  <wp:docPr id="1036" name="shape1036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0711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252" w:hRule="atLeast"/>
        </w:trPr>
        <w:tc>
          <w:tcPr>
            <w:tcW w:w="1609" w:type="dxa"/>
            <w:vAlign w:val="center"/>
          </w:tcPr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Cambria Math" w:hAnsi="Cambria Math" w:cs="Cambria Math"/>
                <w:b/>
                <w:bCs/>
                <w:color w:val="EE0000"/>
                <w:sz w:val="24"/>
              </w:rPr>
              <w:t>⑫</w:t>
            </w:r>
          </w:p>
          <w:p>
            <w:pPr>
              <w:wordWrap/>
              <w:jc w:val="center"/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Тоног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т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х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eastAsia="Cambria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р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ө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мжийн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засвар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bCs/>
                <w:color w:val="EE0000"/>
                <w:sz w:val="24"/>
              </w:rPr>
              <w:t>ү</w:t>
            </w:r>
            <w:r>
              <w:rPr>
                <w:rFonts w:ascii="Times New Roman" w:hAnsi="Times New Roman" w:cs="Times New Roman"/>
                <w:b/>
                <w:bCs/>
                <w:color w:val="EE0000"/>
                <w:sz w:val="24"/>
              </w:rPr>
              <w:t>йлчилгээ</w:t>
            </w:r>
          </w:p>
        </w:tc>
        <w:tc>
          <w:tcPr>
            <w:tcW w:w="6702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Засвар үйлчилгээний ажил э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хлэхээс өмнө төхөөрөмжийг тэжээлийг бүрэн салга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</w:p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>“Ажиллуулахыг хориглоно”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анхааруулах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тэмдэг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lang w:val="mn-MN"/>
                <w:rFonts w:ascii="Times New Roman" w:hAnsi="Times New Roman" w:cs="Times New Roman"/>
                <w:b/>
                <w:bCs/>
                <w:sz w:val="24"/>
                <w:rtl w:val="off"/>
              </w:rPr>
              <w:t>тавина.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</w:rPr>
              <w:t xml:space="preserve"> </w:t>
            </w:r>
          </w:p>
          <w:p>
            <w:pPr>
              <w:wordWrap/>
              <w:rPr>
                <w:rFonts w:ascii="Times New Roman" w:eastAsiaTheme="minorHAnsi" w:hAnsi="Times New Roman" w:cs="Times New Roman"/>
                <w:b/>
                <w:bCs/>
                <w:sz w:val="24"/>
              </w:rPr>
            </w:pPr>
            <w:r>
              <w:rPr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√ 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Завсар үйлчилгээний ажил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 xml:space="preserve"> дууссаны дараа о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</w:rPr>
              <w:t>рчны аюулгүй байдлыг шалгаж, төхөөрөмжийг ажиллуул</w:t>
            </w:r>
            <w:r>
              <w:rPr>
                <w:lang w:val="mn-MN"/>
                <w:rFonts w:ascii="Times New Roman" w:eastAsiaTheme="minorHAnsi" w:hAnsi="Times New Roman" w:cs="Times New Roman"/>
                <w:b/>
                <w:bCs/>
                <w:sz w:val="24"/>
                <w:rtl w:val="off"/>
              </w:rPr>
              <w:t>на.</w:t>
            </w:r>
          </w:p>
        </w:tc>
        <w:tc>
          <w:tcPr>
            <w:tcW w:w="2653" w:type="dxa"/>
            <w:vAlign w:val="center"/>
          </w:tcPr>
          <w:p>
            <w:pPr>
              <w:wordWrap/>
              <w:rPr>
                <w:rFonts w:ascii="Times New Roman" w:hAnsi="Times New Roman" w:cs="Times New Roman"/>
                <w:b/>
                <w:bCs/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noProof/>
                <w:sz w:val="24"/>
              </w:rPr>
              <w:drawing>
                <wp:inline distT="0" distB="0" distL="0" distR="0">
                  <wp:extent cx="1547495" cy="1013460"/>
                  <wp:effectExtent l="0" t="0" r="0" b="0"/>
                  <wp:docPr id="1037" name="shape1037" hidden="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이미지"/>
                          <pic:cNvPicPr preferRelativeResize="1"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7495" cy="101346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wordWrap/>
        <w:spacing w:after="0"/>
        <w:rPr>
          <w:rFonts w:ascii="Times New Roman" w:hAnsi="Times New Roman" w:cs="Times New Roman"/>
          <w:b/>
          <w:bCs/>
          <w:sz w:val="24"/>
        </w:rPr>
      </w:pPr>
    </w:p>
    <w:p>
      <w:pPr>
        <w:wordWrap/>
        <w:spacing w:after="0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</w:t>
      </w:r>
    </w:p>
    <w:p>
      <w:pPr>
        <w:wordWrap/>
        <w:spacing w:after="0"/>
        <w:rPr>
          <w:rFonts w:ascii="Times New Roman" w:hAnsi="Times New Roman" w:cs="Times New Roman"/>
          <w:b/>
          <w:bCs/>
          <w:sz w:val="24"/>
        </w:rPr>
      </w:pPr>
    </w:p>
    <w:p>
      <w:pPr>
        <w:rPr>
          <w:rFonts w:ascii="Times New Roman" w:hAnsi="Times New Roman" w:cs="Times New Roman"/>
          <w:b/>
          <w:bCs/>
          <w:sz w:val="20"/>
          <w:szCs w:val="20"/>
        </w:rPr>
      </w:pPr>
    </w:p>
    <w:sectPr>
      <w:pgSz w:w="11906" w:h="16838"/>
      <w:pgMar w:top="567" w:right="567" w:bottom="567" w:left="567" w:header="851" w:footer="992" w:gutter="0"/>
      <w:cols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>
  <w:font w:name="Times New Roman">
    <w:panose1 w:val="02020603050405020304"/>
    <w:family w:val="roman"/>
    <w:charset w:val="00"/>
    <w:notTrueType w:val="false"/>
    <w:sig w:usb0="E0002EFF" w:usb1="C000785B" w:usb2="00000009" w:usb3="00000001" w:csb0="400001FF" w:csb1="FFFF0000"/>
  </w:font>
  <w:font w:name="Calibri">
    <w:panose1 w:val="020F0502020204030204"/>
    <w:family w:val="swiss"/>
    <w:charset w:val="00"/>
    <w:notTrueType w:val="false"/>
    <w:sig w:usb0="E4002EFF" w:usb1="C200247B" w:usb2="00000009" w:usb3="00000001" w:csb0="200001FF" w:csb1="00000001"/>
  </w:font>
  <w:font w:name="Cambria">
    <w:panose1 w:val="02040503050406030204"/>
    <w:family w:val="roman"/>
    <w:charset w:val="00"/>
    <w:notTrueType w:val="false"/>
    <w:sig w:usb0="E00006FF" w:usb1="420024FF" w:usb2="02000000" w:usb3="00000001" w:csb0="2000019F" w:csb1="00000001"/>
  </w:font>
  <w:font w:name="Cambria Math">
    <w:panose1 w:val="02040503050406030204"/>
    <w:family w:val="roman"/>
    <w:charset w:val="00"/>
    <w:notTrueType w:val="false"/>
    <w:sig w:usb0="E00006FF" w:usb1="420024FF" w:usb2="02000000" w:usb3="00000001" w:csb0="2000019F" w:csb1="00000001"/>
  </w:font>
  <w:font w:name="맑은 고딕">
    <w:panose1 w:val="020B0503020000020004"/>
    <w:family w:val="swiss"/>
    <w:charset w:val="81"/>
    <w:notTrueType w:val="false"/>
    <w:sig w:usb0="9000002F" w:usb1="29D77CFB" w:usb2="00000012" w:usb3="00000001" w:csb0="00080001" w:csb1="00000001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14="http://schemas.microsoft.com/office/word/2010/wordml" xmlns:wne="http://schemas.microsoft.com/office/word/2006/wordml">
  <w:abstractNum w:abstractNumId="0">
    <w:nsid w:val="2d072b42"/>
    <w:multiLevelType w:val="hybridMultilevel"/>
    <w:tmpl w:val="58ac2688"/>
    <w:lvl w:ilvl="0" w:tplc="7f902d8a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entative="on" w:tplc="4090019">
      <w:start w:val="1"/>
      <w:numFmt w:val="lowerLetter"/>
      <w:lvlText w:val="%2."/>
      <w:lvlJc w:val="left"/>
      <w:pPr>
        <w:ind w:left="1440" w:hanging="360"/>
      </w:pPr>
    </w:lvl>
    <w:lvl w:ilvl="2" w:tentative="on" w:tplc="409001b">
      <w:start w:val="1"/>
      <w:numFmt w:val="lowerRoman"/>
      <w:lvlText w:val="%3."/>
      <w:lvlJc w:val="right"/>
      <w:pPr>
        <w:ind w:left="2160" w:hanging="180"/>
      </w:pPr>
    </w:lvl>
    <w:lvl w:ilvl="3" w:tentative="on" w:tplc="409000f">
      <w:start w:val="1"/>
      <w:lvlText w:val="%4."/>
      <w:lvlJc w:val="left"/>
      <w:pPr>
        <w:ind w:left="2880" w:hanging="360"/>
      </w:pPr>
    </w:lvl>
    <w:lvl w:ilvl="4" w:tentative="on" w:tplc="4090019">
      <w:start w:val="1"/>
      <w:numFmt w:val="lowerLetter"/>
      <w:lvlText w:val="%5."/>
      <w:lvlJc w:val="left"/>
      <w:pPr>
        <w:ind w:left="3600" w:hanging="360"/>
      </w:pPr>
    </w:lvl>
    <w:lvl w:ilvl="5" w:tentative="on" w:tplc="409001b">
      <w:start w:val="1"/>
      <w:numFmt w:val="lowerRoman"/>
      <w:lvlText w:val="%6."/>
      <w:lvlJc w:val="right"/>
      <w:pPr>
        <w:ind w:left="4320" w:hanging="180"/>
      </w:pPr>
    </w:lvl>
    <w:lvl w:ilvl="6" w:tentative="on" w:tplc="409000f">
      <w:start w:val="1"/>
      <w:lvlText w:val="%7."/>
      <w:lvlJc w:val="left"/>
      <w:pPr>
        <w:ind w:left="5040" w:hanging="360"/>
      </w:pPr>
    </w:lvl>
    <w:lvl w:ilvl="7" w:tentative="on" w:tplc="4090019">
      <w:start w:val="1"/>
      <w:numFmt w:val="lowerLetter"/>
      <w:lvlText w:val="%8."/>
      <w:lvlJc w:val="left"/>
      <w:pPr>
        <w:ind w:left="5760" w:hanging="360"/>
      </w:pPr>
    </w:lvl>
    <w:lvl w:ilvl="8" w:tentative="on" w:tplc="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>
  <w:zoom w:percent="100"/>
  <w:removePersonalInformation/>
  <w:bordersDontSurroundHeader/>
  <w:bordersDontSurroundFooter/>
  <w:hideGrammaticalErrors/>
  <w:proofState w:spelling="clean" w:grammar="clean"/>
  <w:defaultTabStop w:val="800"/>
  <w:hyphenationZone w:val="360"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rawingGridHorizontalSpacing w:val="180"/>
  <w:drawingGridVerticalSpacing w:val="180"/>
  <w:displayHorizontalDrawingGridEvery w:val="1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 m:val="1"/>
    <m:lMargin m:val="0"/>
    <m:rMargin m:val="0"/>
    <m:defJc m:val="centerGroup"/>
    <m:wrapIndent m:val="1440"/>
    <m:wrapRight m:val="0"/>
    <m:intLim m:val="subSup"/>
    <m:naryLim m:val="undOvr"/>
    <m:interSp m:val="0"/>
    <m:intraSp m:val="0"/>
    <m:preSp m:val="0"/>
    <m:postSp m:val="0"/>
  </m:mathPr>
  <w:themeFontLang w:val="en-US" w:eastAsia="ko-KR" w:bidi="si-L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lang w:val="en-US" w:eastAsia="ko-KR" w:bidi="ar-SA"/>
        <w:rFonts w:asciiTheme="minorHAnsi" w:eastAsiaTheme="minorEastAsia" w:hAnsiTheme="minorHAnsi" w:cstheme="minorBidi"/>
        <w:sz w:val="22"/>
        <w:szCs w:val="24"/>
        <w:kern w:val="2"/>
      </w:rPr>
    </w:rPrDefault>
    <w:pPrDefault>
      <w:pPr>
        <w:spacing w:after="160"/>
      </w:pPr>
    </w:pPrDefault>
  </w:docDefaults>
  <w:style w:type="paragraph" w:default="1" w:styleId="a1">
    <w:name w:val="Normal"/>
    <w:qFormat/>
    <w:pPr>
      <w:autoSpaceDE w:val="off"/>
      <w:autoSpaceDN w:val="off"/>
      <w:widowControl w:val="off"/>
      <w:wordWrap w:val="off"/>
    </w:pPr>
  </w:style>
  <w:style w:type="character" w:default="1" w:styleId="a2">
    <w:name w:val="Default Paragraph Font"/>
    <w:semiHidden/>
    <w:unhideWhenUsed/>
  </w:style>
  <w:style w:type="table" w:default="1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semiHidden/>
    <w:unhideWhenUsed/>
  </w:style>
  <w:style w:type="paragraph" w:styleId="a7">
    <w:name w:val="Subtitle"/>
    <w:basedOn w:val="a1"/>
    <w:next w:val="a1"/>
    <w:link w:val="부제 Char"/>
    <w:qFormat/>
    <w:pPr>
      <w:jc w:val="center"/>
      <w:numPr>
        <w:ilvl w:val="0"/>
      </w:numPr>
    </w:pPr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paragraph" w:styleId="8">
    <w:name w:val="heading 8"/>
    <w:basedOn w:val="a1"/>
    <w:next w:val="a1"/>
    <w:link w:val="제목 8 Char"/>
    <w:qFormat/>
    <w:semiHidden/>
    <w:unhideWhenUsed/>
    <w:pPr>
      <w:ind w:leftChars="400" w:left="400"/>
      <w:keepNext/>
      <w:keepLines/>
      <w:outlineLvl w:val="7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1">
    <w:name w:val="heading 1"/>
    <w:basedOn w:val="a1"/>
    <w:next w:val="a1"/>
    <w:link w:val="제목 1 Char"/>
    <w:qFormat/>
    <w:pPr>
      <w:keepNext/>
      <w:keepLines/>
      <w:outlineLvl w:val="0"/>
      <w:spacing w:after="80" w:before="280"/>
    </w:pPr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9">
    <w:name w:val="heading 9"/>
    <w:basedOn w:val="a1"/>
    <w:next w:val="a1"/>
    <w:link w:val="제목 9 Char"/>
    <w:qFormat/>
    <w:semiHidden/>
    <w:unhideWhenUsed/>
    <w:pPr>
      <w:ind w:leftChars="500" w:left="500"/>
      <w:keepNext/>
      <w:keepLines/>
      <w:outlineLvl w:val="8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3Char">
    <w:name w:val="제목 3 Char"/>
    <w:basedOn w:val="a2"/>
    <w:link w:val="heading 3"/>
    <w:semiHidden/>
    <w:rPr>
      <w:rFonts w:asciiTheme="majorHAnsi" w:eastAsiaTheme="majorEastAsia" w:hAnsiTheme="majorHAnsi" w:cstheme="majorBidi"/>
      <w:color w:val="000000"/>
      <w:sz w:val="24"/>
    </w:rPr>
  </w:style>
  <w:style w:type="paragraph" w:styleId="41">
    <w:name w:val="heading 4"/>
    <w:basedOn w:val="a1"/>
    <w:next w:val="a1"/>
    <w:link w:val="제목 4 Char"/>
    <w:qFormat/>
    <w:semiHidden/>
    <w:unhideWhenUsed/>
    <w:pPr>
      <w:keepNext/>
      <w:keepLines/>
      <w:outlineLvl w:val="3"/>
      <w:spacing w:after="40" w:before="80"/>
    </w:pPr>
    <w:rPr>
      <w:rFonts w:asciiTheme="majorHAnsi" w:eastAsiaTheme="majorEastAsia" w:hAnsiTheme="majorHAnsi" w:cstheme="majorBidi"/>
      <w:color w:val="000000"/>
    </w:rPr>
  </w:style>
  <w:style w:type="paragraph" w:styleId="21">
    <w:name w:val="heading 2"/>
    <w:basedOn w:val="a1"/>
    <w:next w:val="a1"/>
    <w:link w:val="제목 2 Char"/>
    <w:qFormat/>
    <w:semiHidden/>
    <w:unhideWhenUsed/>
    <w:pPr>
      <w:keepNext/>
      <w:keepLines/>
      <w:outlineLvl w:val="1"/>
      <w:spacing w:after="80" w:before="160"/>
    </w:pPr>
    <w:rPr>
      <w:rFonts w:asciiTheme="majorHAnsi" w:eastAsiaTheme="majorEastAsia" w:hAnsiTheme="majorHAnsi" w:cstheme="majorBidi"/>
      <w:color w:val="000000"/>
      <w:sz w:val="28"/>
      <w:szCs w:val="28"/>
    </w:rPr>
  </w:style>
  <w:style w:type="paragraph" w:styleId="6">
    <w:name w:val="heading 6"/>
    <w:basedOn w:val="a1"/>
    <w:next w:val="a1"/>
    <w:link w:val="제목 6 Char"/>
    <w:qFormat/>
    <w:semiHidden/>
    <w:unhideWhenUsed/>
    <w:pPr>
      <w:ind w:leftChars="200" w:left="200"/>
      <w:keepNext/>
      <w:keepLines/>
      <w:outlineLvl w:val="5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5Char">
    <w:name w:val="제목 5 Char"/>
    <w:basedOn w:val="a2"/>
    <w:link w:val="heading 5"/>
    <w:semiHidden/>
    <w:rPr>
      <w:rFonts w:asciiTheme="majorHAnsi" w:eastAsiaTheme="majorEastAsia" w:hAnsiTheme="majorHAnsi" w:cstheme="majorBidi"/>
      <w:color w:val="000000"/>
    </w:rPr>
  </w:style>
  <w:style w:type="paragraph" w:styleId="a6">
    <w:name w:val="Title"/>
    <w:basedOn w:val="a1"/>
    <w:next w:val="a1"/>
    <w:link w:val="제목 Char"/>
    <w:qFormat/>
    <w:pPr>
      <w:contextualSpacing/>
      <w:jc w:val="center"/>
      <w:spacing w:after="80"/>
    </w:pPr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paragraph" w:styleId="7">
    <w:name w:val="heading 7"/>
    <w:basedOn w:val="a1"/>
    <w:next w:val="a1"/>
    <w:link w:val="제목 7 Char"/>
    <w:qFormat/>
    <w:semiHidden/>
    <w:unhideWhenUsed/>
    <w:pPr>
      <w:ind w:leftChars="300" w:left="300"/>
      <w:keepNext/>
      <w:keepLines/>
      <w:outlineLvl w:val="6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Char1">
    <w:name w:val="인용 Char"/>
    <w:basedOn w:val="a2"/>
    <w:link w:val="Quote"/>
    <w:rPr>
      <w:i/>
      <w:iCs/>
      <w:color w:val="3F3F3F"/>
    </w:rPr>
  </w:style>
  <w:style w:type="paragraph" w:styleId="ad">
    <w:name w:val="Intense Quote"/>
    <w:basedOn w:val="a1"/>
    <w:next w:val="a1"/>
    <w:link w:val="강한 인용 Char"/>
    <w:qFormat/>
    <w:pPr>
      <w:ind w:left="864" w:right="864"/>
      <w:jc w:val="center"/>
      <w:pBdr>
        <w:top w:val="single" w:sz="4" w:space="10" w:color="2F5496" w:themeColor="accent1" w:themeShade="bf"/>
        <w:bottom w:val="single" w:sz="4" w:space="10" w:color="2F5496" w:themeColor="accent1" w:themeShade="bf"/>
      </w:pBdr>
      <w:spacing w:after="360" w:before="360"/>
    </w:pPr>
    <w:rPr>
      <w:i/>
      <w:iCs/>
      <w:color w:val="2F5496"/>
    </w:rPr>
  </w:style>
  <w:style w:type="paragraph" w:styleId="af1">
    <w:name w:val="List Paragraph"/>
    <w:basedOn w:val="a1"/>
    <w:qFormat/>
    <w:pPr>
      <w:ind w:left="720"/>
      <w:contextualSpacing/>
    </w:pPr>
  </w:style>
  <w:style w:type="character" w:customStyle="1" w:styleId="2Char">
    <w:name w:val="제목 2 Char"/>
    <w:basedOn w:val="a2"/>
    <w:link w:val="heading 2"/>
    <w:semiHidden/>
    <w:rPr>
      <w:rFonts w:asciiTheme="majorHAnsi" w:eastAsiaTheme="majorEastAsia" w:hAnsiTheme="majorHAnsi" w:cstheme="majorBidi"/>
      <w:color w:val="000000"/>
      <w:sz w:val="28"/>
      <w:szCs w:val="28"/>
    </w:rPr>
  </w:style>
  <w:style w:type="character" w:customStyle="1" w:styleId="Char">
    <w:name w:val="제목 Char"/>
    <w:basedOn w:val="a2"/>
    <w:link w:val="Title"/>
    <w:rPr>
      <w:rFonts w:asciiTheme="majorHAnsi" w:eastAsiaTheme="majorEastAsia" w:hAnsiTheme="majorHAnsi" w:cstheme="majorBidi"/>
      <w:sz w:val="56"/>
      <w:szCs w:val="56"/>
      <w:kern w:val="28"/>
      <w:spacing w:val="-10"/>
    </w:rPr>
  </w:style>
  <w:style w:type="character" w:customStyle="1" w:styleId="8Char">
    <w:name w:val="제목 8 Char"/>
    <w:basedOn w:val="a2"/>
    <w:link w:val="heading 8"/>
    <w:semiHidden/>
    <w:rPr>
      <w:rFonts w:asciiTheme="majorHAnsi" w:eastAsiaTheme="majorEastAsia" w:hAnsiTheme="majorHAnsi" w:cstheme="majorBidi"/>
      <w:color w:val="000000"/>
    </w:rPr>
  </w:style>
  <w:style w:type="character" w:customStyle="1" w:styleId="4Char">
    <w:name w:val="제목 4 Char"/>
    <w:basedOn w:val="a2"/>
    <w:link w:val="heading 4"/>
    <w:semiHidden/>
    <w:rPr>
      <w:rFonts w:asciiTheme="majorHAnsi" w:eastAsiaTheme="majorEastAsia" w:hAnsiTheme="majorHAnsi" w:cstheme="majorBidi"/>
      <w:color w:val="000000"/>
    </w:rPr>
  </w:style>
  <w:style w:type="character" w:customStyle="1" w:styleId="Char0">
    <w:name w:val="부제 Char"/>
    <w:basedOn w:val="a2"/>
    <w:link w:val="Subtitle"/>
    <w:rPr>
      <w:rFonts w:asciiTheme="majorHAnsi" w:eastAsiaTheme="majorEastAsia" w:hAnsiTheme="majorHAnsi" w:cstheme="majorBidi"/>
      <w:color w:val="595959"/>
      <w:sz w:val="28"/>
      <w:szCs w:val="28"/>
      <w:spacing w:val="15"/>
    </w:rPr>
  </w:style>
  <w:style w:type="character" w:customStyle="1" w:styleId="6Char">
    <w:name w:val="제목 6 Char"/>
    <w:basedOn w:val="a2"/>
    <w:link w:val="heading 6"/>
    <w:semiHidden/>
    <w:rPr>
      <w:rFonts w:asciiTheme="majorHAnsi" w:eastAsiaTheme="majorEastAsia" w:hAnsiTheme="majorHAnsi" w:cstheme="majorBidi"/>
      <w:color w:val="000000"/>
    </w:rPr>
  </w:style>
  <w:style w:type="character" w:customStyle="1" w:styleId="1Char">
    <w:name w:val="제목 1 Char"/>
    <w:basedOn w:val="a2"/>
    <w:link w:val="heading 1"/>
    <w:rPr>
      <w:rFonts w:asciiTheme="majorHAnsi" w:eastAsiaTheme="majorEastAsia" w:hAnsiTheme="majorHAnsi" w:cstheme="majorBidi"/>
      <w:color w:val="000000"/>
      <w:sz w:val="32"/>
      <w:szCs w:val="32"/>
    </w:rPr>
  </w:style>
  <w:style w:type="paragraph" w:styleId="31">
    <w:name w:val="heading 3"/>
    <w:basedOn w:val="a1"/>
    <w:next w:val="a1"/>
    <w:link w:val="제목 3 Char"/>
    <w:qFormat/>
    <w:semiHidden/>
    <w:unhideWhenUsed/>
    <w:pPr>
      <w:keepNext/>
      <w:keepLines/>
      <w:outlineLvl w:val="2"/>
      <w:spacing w:after="80" w:before="160"/>
    </w:pPr>
    <w:rPr>
      <w:rFonts w:asciiTheme="majorHAnsi" w:eastAsiaTheme="majorEastAsia" w:hAnsiTheme="majorHAnsi" w:cstheme="majorBidi"/>
      <w:color w:val="000000"/>
      <w:sz w:val="24"/>
    </w:rPr>
  </w:style>
  <w:style w:type="character" w:customStyle="1" w:styleId="9Char">
    <w:name w:val="제목 9 Char"/>
    <w:basedOn w:val="a2"/>
    <w:link w:val="heading 9"/>
    <w:semiHidden/>
    <w:rPr>
      <w:rFonts w:asciiTheme="majorHAnsi" w:eastAsiaTheme="majorEastAsia" w:hAnsiTheme="majorHAnsi" w:cstheme="majorBidi"/>
      <w:color w:val="000000"/>
    </w:rPr>
  </w:style>
  <w:style w:type="paragraph" w:styleId="a1">
    <w:name w:val="Normal"/>
    <w:qFormat/>
    <w:pPr>
      <w:autoSpaceDE w:val="off"/>
      <w:autoSpaceDN w:val="off"/>
      <w:widowControl w:val="off"/>
      <w:wordWrap w:val="off"/>
    </w:pPr>
  </w:style>
  <w:style w:type="character" w:styleId="a2">
    <w:name w:val="Default Paragraph Font"/>
    <w:semiHidden/>
    <w:unhideWhenUsed/>
  </w:style>
  <w:style w:type="paragraph" w:styleId="51">
    <w:name w:val="heading 5"/>
    <w:basedOn w:val="a1"/>
    <w:next w:val="a1"/>
    <w:link w:val="제목 5 Char"/>
    <w:qFormat/>
    <w:semiHidden/>
    <w:unhideWhenUsed/>
    <w:pPr>
      <w:ind w:leftChars="100" w:left="100"/>
      <w:keepNext/>
      <w:keepLines/>
      <w:outlineLvl w:val="4"/>
      <w:spacing w:after="40" w:before="80"/>
    </w:pPr>
    <w:rPr>
      <w:rFonts w:asciiTheme="majorHAnsi" w:eastAsiaTheme="majorEastAsia" w:hAnsiTheme="majorHAnsi" w:cstheme="majorBidi"/>
      <w:color w:val="000000"/>
    </w:rPr>
  </w:style>
  <w:style w:type="character" w:customStyle="1" w:styleId="7Char">
    <w:name w:val="제목 7 Char"/>
    <w:basedOn w:val="a2"/>
    <w:link w:val="heading 7"/>
    <w:semiHidden/>
    <w:rPr>
      <w:rFonts w:asciiTheme="majorHAnsi" w:eastAsiaTheme="majorEastAsia" w:hAnsiTheme="majorHAnsi" w:cstheme="majorBidi"/>
      <w:color w:val="000000"/>
    </w:rPr>
  </w:style>
  <w:style w:type="numbering" w:styleId="a4">
    <w:name w:val="No List"/>
    <w:semiHidden/>
    <w:unhideWhenUsed/>
  </w:style>
  <w:style w:type="table" w:styleId="a3">
    <w:name w:val="Normal Table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Intense Reference"/>
    <w:basedOn w:val="a2"/>
    <w:qFormat/>
    <w:rPr>
      <w:b/>
      <w:bCs/>
      <w:smallCaps/>
      <w:color w:val="2F5496"/>
      <w:spacing w:val="5"/>
    </w:rPr>
  </w:style>
  <w:style w:type="character" w:styleId="aa">
    <w:name w:val="Intense Emphasis"/>
    <w:basedOn w:val="a2"/>
    <w:qFormat/>
    <w:rPr>
      <w:i/>
      <w:iCs/>
      <w:color w:val="2F5496"/>
    </w:rPr>
  </w:style>
  <w:style w:type="paragraph" w:styleId="ac">
    <w:name w:val="Quote"/>
    <w:basedOn w:val="a1"/>
    <w:next w:val="a1"/>
    <w:link w:val="인용 Char"/>
    <w:qFormat/>
    <w:pPr>
      <w:jc w:val="center"/>
      <w:spacing w:before="160"/>
    </w:pPr>
    <w:rPr>
      <w:i/>
      <w:iCs/>
      <w:color w:val="3F3F3F"/>
    </w:rPr>
  </w:style>
  <w:style w:type="character" w:customStyle="1" w:styleId="Char2">
    <w:name w:val="강한 인용 Char"/>
    <w:basedOn w:val="a2"/>
    <w:link w:val="Intense Quote"/>
    <w:rPr>
      <w:i/>
      <w:iCs/>
      <w:color w:val="2F5496"/>
    </w:rPr>
  </w:style>
  <w:style w:type="character" w:styleId="afff3">
    <w:name w:val="Placeholder Text"/>
    <w:basedOn w:val="a2"/>
    <w:semiHidden/>
    <w:rPr>
      <w:color w:val="808080"/>
    </w:rPr>
  </w:style>
  <w:style w:type="table" w:styleId="afffb">
    <w:name w:val="Table Grid"/>
    <w:basedOn w:val="a3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Relationship Id="rId3" Type="http://schemas.openxmlformats.org/officeDocument/2006/relationships/image" Target="media/image3.png" /><Relationship Id="rId4" Type="http://schemas.openxmlformats.org/officeDocument/2006/relationships/image" Target="media/image4.png" /><Relationship Id="rId5" Type="http://schemas.openxmlformats.org/officeDocument/2006/relationships/image" Target="media/image5.png" /><Relationship Id="rId6" Type="http://schemas.openxmlformats.org/officeDocument/2006/relationships/image" Target="media/image6.png" /><Relationship Id="rId7" Type="http://schemas.openxmlformats.org/officeDocument/2006/relationships/image" Target="media/image7.png" /><Relationship Id="rId8" Type="http://schemas.openxmlformats.org/officeDocument/2006/relationships/image" Target="media/image8.png" /><Relationship Id="rId9" Type="http://schemas.openxmlformats.org/officeDocument/2006/relationships/image" Target="media/image9.png" /><Relationship Id="rId10" Type="http://schemas.openxmlformats.org/officeDocument/2006/relationships/image" Target="media/image10.png" /><Relationship Id="rId11" Type="http://schemas.openxmlformats.org/officeDocument/2006/relationships/image" Target="media/image11.png" /><Relationship Id="rId12" Type="http://schemas.openxmlformats.org/officeDocument/2006/relationships/image" Target="media/image12.png" /><Relationship Id="rId13" Type="http://schemas.openxmlformats.org/officeDocument/2006/relationships/image" Target="media/image13.png" /><Relationship Id="rId14" Type="http://schemas.openxmlformats.org/officeDocument/2006/relationships/styles" Target="styles.xml" /><Relationship Id="rId15" Type="http://schemas.openxmlformats.org/officeDocument/2006/relationships/settings" Target="settings.xml" /><Relationship Id="rId16" Type="http://schemas.openxmlformats.org/officeDocument/2006/relationships/fontTable" Target="fontTable.xml" /><Relationship Id="rId17" Type="http://schemas.openxmlformats.org/officeDocument/2006/relationships/webSettings" Target="webSettings.xml" /><Relationship Id="rId18" Type="http://schemas.openxmlformats.org/officeDocument/2006/relationships/numbering" Target="numbering.xml" /><Relationship Id="rId1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테마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Malgun Gothic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Malgun Gothic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Word</Application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ZTM</dc:creator>
  <cp:keywords/>
  <dc:description/>
  <cp:lastModifiedBy>ZTM</cp:lastModifiedBy>
  <cp:revision>1</cp:revision>
  <dcterms:created xsi:type="dcterms:W3CDTF">2026-01-13T08:42:00Z</dcterms:created>
  <dcterms:modified xsi:type="dcterms:W3CDTF">2026-01-15T07:59:19Z</dcterms:modified>
  <cp:version>0900.0001.01</cp:version>
</cp:coreProperties>
</file>